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847" w:right="694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CROCIERA COSTA PACIFICA</w:t>
      </w:r>
    </w:p>
    <w:p>
      <w:pPr>
        <w:spacing w:before="232"/>
        <w:ind w:left="847" w:right="694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FRANCIA - SPAGNA - BALEARI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19 AL 26 AGOSTO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979 €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1099 €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1169 €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6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INTERNA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3" w:lineRule="exact" w:before="20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1649 €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274" w:right="276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1869 €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274" w:right="276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2069 €</w:t>
            </w:r>
          </w:p>
        </w:tc>
      </w:tr>
    </w:tbl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7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€ 599 | Quota 3° e 4° letto bambino € 190</w:t>
      </w: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4" w:lineRule="auto" w:before="11" w:after="0"/>
        <w:ind w:left="509" w:right="44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</w:t>
      </w:r>
      <w:r>
        <w:rPr>
          <w:b w:val="0"/>
          <w:color w:val="FFFFFF"/>
          <w:spacing w:val="-7"/>
          <w:sz w:val="20"/>
        </w:rPr>
        <w:t>da </w:t>
      </w:r>
      <w:r>
        <w:rPr>
          <w:b w:val="0"/>
          <w:color w:val="FFFFFF"/>
          <w:spacing w:val="-4"/>
          <w:sz w:val="20"/>
        </w:rPr>
        <w:t>CIVITAVECCHIA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4" w:lineRule="auto" w:before="2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Pensione completa, con piatti gourmet nei </w:t>
      </w:r>
      <w:r>
        <w:rPr>
          <w:b w:val="0"/>
          <w:color w:val="FFFFFF"/>
          <w:spacing w:val="-4"/>
          <w:sz w:val="20"/>
        </w:rPr>
        <w:t>Ristoranti </w:t>
      </w:r>
      <w:r>
        <w:rPr>
          <w:b w:val="0"/>
          <w:color w:val="FFFFFF"/>
          <w:sz w:val="20"/>
        </w:rPr>
        <w:t>Principali</w:t>
      </w:r>
      <w:r>
        <w:rPr>
          <w:b w:val="0"/>
          <w:color w:val="FFFFFF"/>
          <w:spacing w:val="-18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7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8"/>
          <w:sz w:val="20"/>
        </w:rPr>
        <w:t> </w:t>
      </w:r>
      <w:r>
        <w:rPr>
          <w:b w:val="0"/>
          <w:color w:val="FFFFFF"/>
          <w:sz w:val="20"/>
        </w:rPr>
        <w:t>mediterranea</w:t>
      </w:r>
      <w:r>
        <w:rPr>
          <w:b w:val="0"/>
          <w:color w:val="FFFFFF"/>
          <w:spacing w:val="-17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8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7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7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Tasse Portuali</w:t>
      </w:r>
      <w:r>
        <w:rPr>
          <w:b w:val="0"/>
          <w:color w:val="FFFFFF"/>
          <w:spacing w:val="-17"/>
          <w:sz w:val="20"/>
        </w:rPr>
        <w:t> </w:t>
      </w:r>
      <w:r>
        <w:rPr>
          <w:b w:val="0"/>
          <w:color w:val="FFFFFF"/>
          <w:spacing w:val="-5"/>
          <w:sz w:val="20"/>
        </w:rPr>
        <w:t>€190,00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</w:t>
      </w:r>
      <w:r>
        <w:rPr>
          <w:b w:val="0"/>
          <w:color w:val="FFFFFF"/>
          <w:spacing w:val="-10"/>
          <w:sz w:val="20"/>
        </w:rPr>
        <w:t> </w:t>
      </w:r>
      <w:r>
        <w:rPr>
          <w:b w:val="0"/>
          <w:color w:val="FFFFFF"/>
          <w:sz w:val="20"/>
        </w:rPr>
        <w:t>di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Servizio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8"/>
          <w:sz w:val="20"/>
        </w:rPr>
        <w:t>€77,00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3"/>
          <w:sz w:val="20"/>
        </w:rPr>
        <w:t>obbligatorie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da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2"/>
          <w:sz w:val="20"/>
        </w:rPr>
        <w:t>pagare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in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loco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0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5" w:space="381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804672" coordorigin="0,0" coordsize="11986,16838">
            <v:shape style="position:absolute;left:0;top:0;width:11906;height:10517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43;top:6440;width:3641;height:2574" type="#_x0000_t75" stroked="false">
              <v:imagedata r:id="rId10" o:title=""/>
            </v:shape>
            <v:rect style="position:absolute;left:643;top:6460;width:3640;height:2534" filled="false" stroked="true" strokeweight="2.0pt" strokecolor="#ffffff">
              <v:stroke dashstyle="solid"/>
            </v:rect>
            <w10:wrap type="none"/>
          </v:group>
        </w:pict>
      </w:r>
    </w:p>
    <w:p>
      <w:pPr>
        <w:pStyle w:val="BodyText"/>
        <w:spacing w:before="5"/>
        <w:rPr>
          <w:b w:val="0"/>
          <w:sz w:val="24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9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8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6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3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7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0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509" w:hanging="361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2024-01-16T10:39:17Z</dcterms:created>
  <dcterms:modified xsi:type="dcterms:W3CDTF">2024-01-16T10:39:17Z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2024-01-16T00:00:00Z</vt:filetime>
  </property>
</Properties>
</file>