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47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44704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741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sz w:val="56"/>
        </w:rPr>
      </w:pPr>
    </w:p>
    <w:p>
      <w:pPr>
        <w:pStyle w:val="Title"/>
      </w:pPr>
      <w:r>
        <w:rPr>
          <w:color w:val="FFFFFF"/>
          <w:spacing w:val="-2"/>
        </w:rPr>
        <w:t>NICOLAUS</w:t>
      </w:r>
      <w:r>
        <w:rPr>
          <w:color w:val="FFFFFF"/>
          <w:spacing w:val="-30"/>
        </w:rPr>
        <w:t> </w:t>
      </w:r>
      <w:r>
        <w:rPr>
          <w:color w:val="FFFFFF"/>
          <w:spacing w:val="-2"/>
        </w:rPr>
        <w:t>CLUB</w:t>
      </w:r>
      <w:r>
        <w:rPr>
          <w:color w:val="FFFFFF"/>
          <w:spacing w:val="-28"/>
        </w:rPr>
        <w:t> </w:t>
      </w:r>
      <w:r>
        <w:rPr>
          <w:color w:val="FFFFFF"/>
          <w:spacing w:val="-2"/>
        </w:rPr>
        <w:t>NOZHA</w:t>
      </w:r>
      <w:r>
        <w:rPr>
          <w:color w:val="FFFFFF"/>
          <w:spacing w:val="-28"/>
        </w:rPr>
        <w:t> </w:t>
      </w:r>
      <w:r>
        <w:rPr>
          <w:color w:val="FFFFFF"/>
          <w:spacing w:val="-2"/>
        </w:rPr>
        <w:t>BEACH</w:t>
      </w:r>
      <w:r>
        <w:rPr>
          <w:color w:val="FFFFFF"/>
          <w:spacing w:val="-28"/>
        </w:rPr>
        <w:t> </w:t>
      </w:r>
      <w:r>
        <w:rPr>
          <w:color w:val="FFFFFF"/>
          <w:spacing w:val="-2"/>
        </w:rPr>
        <w:t>RESORT</w:t>
      </w:r>
    </w:p>
    <w:p>
      <w:pPr>
        <w:spacing w:before="258"/>
        <w:ind w:left="136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TUNISIA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HAMMAMET</w:t>
      </w: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spacing w:before="142"/>
        <w:rPr>
          <w:rFonts w:ascii="Georgia"/>
          <w:b w:val="0"/>
          <w:i/>
          <w:sz w:val="34"/>
        </w:rPr>
      </w:pPr>
    </w:p>
    <w:p>
      <w:pPr>
        <w:spacing w:before="0"/>
        <w:ind w:left="136" w:right="16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36" w:right="8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36" w:right="9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698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3214" w:right="3092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GARDEN TRATTAMENTO</w:t>
      </w:r>
      <w:r>
        <w:rPr>
          <w:rFonts w:ascii="Futura PT"/>
          <w:b/>
          <w:color w:val="FFFFFF"/>
          <w:spacing w:val="-18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INCLUSIVE</w:t>
      </w:r>
    </w:p>
    <w:p>
      <w:pPr>
        <w:pStyle w:val="BodyText"/>
        <w:spacing w:before="86"/>
      </w:pPr>
    </w:p>
    <w:p>
      <w:pPr>
        <w:pStyle w:val="BodyText"/>
        <w:spacing w:line="225" w:lineRule="auto"/>
        <w:ind w:left="229" w:right="106" w:hanging="1"/>
        <w:jc w:val="center"/>
      </w:pPr>
      <w:r>
        <w:rPr>
          <w:color w:val="FFFFFF"/>
        </w:rPr>
        <w:t>Il Nicolaus Club Nozha Beach Resort &amp; Spa sorge direttamente su una spiaggia di sabbia bianca e fine. E’ stato completamente rinnovato nel </w:t>
      </w:r>
      <w:r>
        <w:rPr>
          <w:color w:val="FFFFFF"/>
        </w:rPr>
        <w:t>2023.</w:t>
      </w:r>
      <w:r>
        <w:rPr>
          <w:color w:val="FFFFFF"/>
          <w:spacing w:val="40"/>
        </w:rPr>
        <w:t> </w:t>
      </w:r>
      <w:r>
        <w:rPr>
          <w:color w:val="FFFFFF"/>
        </w:rPr>
        <w:t>E’</w:t>
      </w:r>
      <w:r>
        <w:rPr>
          <w:color w:val="FFFFFF"/>
          <w:spacing w:val="31"/>
        </w:rPr>
        <w:t> </w:t>
      </w:r>
      <w:r>
        <w:rPr>
          <w:color w:val="FFFFFF"/>
        </w:rPr>
        <w:t>situato</w:t>
      </w:r>
      <w:r>
        <w:rPr>
          <w:color w:val="FFFFFF"/>
          <w:spacing w:val="-3"/>
        </w:rPr>
        <w:t> </w:t>
      </w:r>
      <w:r>
        <w:rPr>
          <w:color w:val="FFFFFF"/>
        </w:rPr>
        <w:t>a</w:t>
      </w:r>
      <w:r>
        <w:rPr>
          <w:color w:val="FFFFFF"/>
          <w:spacing w:val="-3"/>
        </w:rPr>
        <w:t> </w:t>
      </w:r>
      <w:r>
        <w:rPr>
          <w:color w:val="FFFFFF"/>
        </w:rPr>
        <w:t>metà</w:t>
      </w:r>
      <w:r>
        <w:rPr>
          <w:color w:val="FFFFFF"/>
          <w:spacing w:val="-3"/>
        </w:rPr>
        <w:t> </w:t>
      </w:r>
      <w:r>
        <w:rPr>
          <w:color w:val="FFFFFF"/>
        </w:rPr>
        <w:t>strada</w:t>
      </w:r>
      <w:r>
        <w:rPr>
          <w:color w:val="FFFFFF"/>
          <w:spacing w:val="-3"/>
        </w:rPr>
        <w:t> </w:t>
      </w:r>
      <w:r>
        <w:rPr>
          <w:color w:val="FFFFFF"/>
        </w:rPr>
        <w:t>tra</w:t>
      </w:r>
      <w:r>
        <w:rPr>
          <w:color w:val="FFFFFF"/>
          <w:spacing w:val="-3"/>
        </w:rPr>
        <w:t> </w:t>
      </w:r>
      <w:r>
        <w:rPr>
          <w:color w:val="FFFFFF"/>
        </w:rPr>
        <w:t>Hammamet</w:t>
      </w:r>
      <w:r>
        <w:rPr>
          <w:color w:val="FFFFFF"/>
          <w:spacing w:val="-3"/>
        </w:rPr>
        <w:t> </w:t>
      </w:r>
      <w:r>
        <w:rPr>
          <w:color w:val="FFFFFF"/>
        </w:rPr>
        <w:t>conosciuta</w:t>
      </w:r>
      <w:r>
        <w:rPr>
          <w:color w:val="FFFFFF"/>
          <w:spacing w:val="-3"/>
        </w:rPr>
        <w:t> </w:t>
      </w:r>
      <w:r>
        <w:rPr>
          <w:color w:val="FFFFFF"/>
        </w:rPr>
        <w:t>per</w:t>
      </w:r>
      <w:r>
        <w:rPr>
          <w:color w:val="FFFFFF"/>
          <w:spacing w:val="-3"/>
        </w:rPr>
        <w:t> </w:t>
      </w:r>
      <w:r>
        <w:rPr>
          <w:color w:val="FFFFFF"/>
        </w:rPr>
        <w:t>il</w:t>
      </w:r>
      <w:r>
        <w:rPr>
          <w:color w:val="FFFFFF"/>
          <w:spacing w:val="-3"/>
        </w:rPr>
        <w:t> </w:t>
      </w:r>
      <w:r>
        <w:rPr>
          <w:color w:val="FFFFFF"/>
        </w:rPr>
        <w:t>suo</w:t>
      </w:r>
      <w:r>
        <w:rPr>
          <w:color w:val="FFFFFF"/>
          <w:spacing w:val="-3"/>
        </w:rPr>
        <w:t> </w:t>
      </w:r>
      <w:r>
        <w:rPr>
          <w:color w:val="FFFFFF"/>
        </w:rPr>
        <w:t>mare</w:t>
      </w:r>
      <w:r>
        <w:rPr>
          <w:color w:val="FFFFFF"/>
          <w:spacing w:val="-3"/>
        </w:rPr>
        <w:t> </w:t>
      </w:r>
      <w:r>
        <w:rPr>
          <w:color w:val="FFFFFF"/>
        </w:rPr>
        <w:t>turchese</w:t>
      </w:r>
      <w:r>
        <w:rPr>
          <w:color w:val="FFFFFF"/>
          <w:spacing w:val="-3"/>
        </w:rPr>
        <w:t> </w:t>
      </w:r>
      <w:r>
        <w:rPr>
          <w:color w:val="FFFFFF"/>
        </w:rPr>
        <w:t>e</w:t>
      </w:r>
      <w:r>
        <w:rPr>
          <w:color w:val="FFFFFF"/>
          <w:spacing w:val="-3"/>
        </w:rPr>
        <w:t> </w:t>
      </w:r>
      <w:r>
        <w:rPr>
          <w:color w:val="FFFFFF"/>
        </w:rPr>
        <w:t>Nabeul</w:t>
      </w:r>
      <w:r>
        <w:rPr>
          <w:color w:val="FFFFFF"/>
          <w:spacing w:val="-3"/>
        </w:rPr>
        <w:t> </w:t>
      </w:r>
      <w:r>
        <w:rPr>
          <w:color w:val="FFFFFF"/>
        </w:rPr>
        <w:t>artefice</w:t>
      </w:r>
      <w:r>
        <w:rPr>
          <w:color w:val="FFFFFF"/>
          <w:spacing w:val="-3"/>
        </w:rPr>
        <w:t> </w:t>
      </w:r>
      <w:r>
        <w:rPr>
          <w:color w:val="FFFFFF"/>
        </w:rPr>
        <w:t>della</w:t>
      </w:r>
      <w:r>
        <w:rPr>
          <w:color w:val="FFFFFF"/>
          <w:spacing w:val="-3"/>
        </w:rPr>
        <w:t> </w:t>
      </w:r>
      <w:r>
        <w:rPr>
          <w:color w:val="FFFFFF"/>
        </w:rPr>
        <w:t>produzione</w:t>
      </w:r>
      <w:r>
        <w:rPr>
          <w:color w:val="FFFFFF"/>
          <w:spacing w:val="-3"/>
        </w:rPr>
        <w:t> </w:t>
      </w:r>
      <w:r>
        <w:rPr>
          <w:color w:val="FFFFFF"/>
        </w:rPr>
        <w:t>dei</w:t>
      </w:r>
      <w:r>
        <w:rPr>
          <w:color w:val="FFFFFF"/>
          <w:spacing w:val="-3"/>
        </w:rPr>
        <w:t> </w:t>
      </w:r>
      <w:r>
        <w:rPr>
          <w:color w:val="FFFFFF"/>
        </w:rPr>
        <w:t>migliori</w:t>
      </w:r>
      <w:r>
        <w:rPr>
          <w:color w:val="FFFFFF"/>
          <w:spacing w:val="-3"/>
        </w:rPr>
        <w:t> </w:t>
      </w:r>
      <w:r>
        <w:rPr>
          <w:color w:val="FFFFFF"/>
        </w:rPr>
        <w:t>prodotti</w:t>
      </w:r>
      <w:r>
        <w:rPr>
          <w:color w:val="FFFFFF"/>
          <w:spacing w:val="-3"/>
        </w:rPr>
        <w:t> </w:t>
      </w:r>
      <w:r>
        <w:rPr>
          <w:color w:val="FFFFFF"/>
        </w:rPr>
        <w:t>artigianali</w:t>
      </w:r>
      <w:r>
        <w:rPr>
          <w:color w:val="FFFFFF"/>
          <w:spacing w:val="-3"/>
        </w:rPr>
        <w:t> </w:t>
      </w:r>
      <w:r>
        <w:rPr>
          <w:color w:val="FFFFFF"/>
        </w:rPr>
        <w:t>sulla</w:t>
      </w:r>
      <w:r>
        <w:rPr>
          <w:color w:val="FFFFFF"/>
          <w:spacing w:val="40"/>
        </w:rPr>
        <w:t> </w:t>
      </w:r>
      <w:r>
        <w:rPr>
          <w:color w:val="FFFFFF"/>
        </w:rPr>
        <w:t>costa</w:t>
      </w:r>
      <w:r>
        <w:rPr>
          <w:color w:val="FFFFFF"/>
          <w:spacing w:val="40"/>
        </w:rPr>
        <w:t> </w:t>
      </w:r>
      <w:r>
        <w:rPr>
          <w:color w:val="FFFFFF"/>
        </w:rPr>
        <w:t>e a poca distanza dai principali aeroporti.</w:t>
      </w:r>
      <w:r>
        <w:rPr>
          <w:color w:val="FFFFFF"/>
          <w:spacing w:val="40"/>
        </w:rPr>
        <w:t> </w:t>
      </w:r>
      <w:r>
        <w:rPr>
          <w:color w:val="FFFFFF"/>
        </w:rPr>
        <w:t>Un Villaggio completo, dalle attività sportive, alla gastronomia internazionale, dallo shopping</w:t>
      </w:r>
      <w:r>
        <w:rPr>
          <w:color w:val="FFFFFF"/>
          <w:spacing w:val="80"/>
        </w:rPr>
        <w:t> </w:t>
      </w:r>
      <w:r>
        <w:rPr>
          <w:color w:val="FFFFFF"/>
        </w:rPr>
        <w:t>all’intrattenimento, è adatto a tutti i tipi di clientela per un’esperienza unica in una terra multiculturale da scoprire.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260" w:right="380"/>
        </w:sectPr>
      </w:pPr>
    </w:p>
    <w:p>
      <w:pPr>
        <w:pStyle w:val="BodyText"/>
        <w:ind w:left="4489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2"/>
        <w:gridCol w:w="2162"/>
        <w:gridCol w:w="2162"/>
        <w:gridCol w:w="2162"/>
        <w:gridCol w:w="2162"/>
      </w:tblGrid>
      <w:tr>
        <w:trPr>
          <w:trHeight w:val="601" w:hRule="atLeast"/>
        </w:trPr>
        <w:tc>
          <w:tcPr>
            <w:tcW w:w="2162" w:type="dxa"/>
          </w:tcPr>
          <w:p>
            <w:pPr>
              <w:pStyle w:val="TableParagraph"/>
              <w:spacing w:before="51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26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spacing w:val="-2"/>
                <w:w w:val="105"/>
                <w:sz w:val="14"/>
              </w:rPr>
              <w:t>STAGIONALITÀ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line="225" w:lineRule="auto" w:before="140"/>
              <w:ind w:left="864" w:right="285" w:hanging="562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-9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z w:val="14"/>
              </w:rPr>
              <w:t>ADULTI</w:t>
            </w:r>
            <w:r>
              <w:rPr>
                <w:rFonts w:ascii="Futura PT"/>
                <w:b/>
                <w:color w:val="FFFFFF"/>
                <w:spacing w:val="-8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z w:val="14"/>
              </w:rPr>
              <w:t>FINO</w:t>
            </w:r>
            <w:r>
              <w:rPr>
                <w:rFonts w:ascii="Futura PT"/>
                <w:b/>
                <w:color w:val="FFFFFF"/>
                <w:spacing w:val="-8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z w:val="14"/>
              </w:rPr>
              <w:t>AL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30/04</w:t>
            </w:r>
          </w:p>
        </w:tc>
        <w:tc>
          <w:tcPr>
            <w:tcW w:w="2162" w:type="dxa"/>
          </w:tcPr>
          <w:p>
            <w:pPr>
              <w:pStyle w:val="TableParagraph"/>
              <w:spacing w:line="225" w:lineRule="auto" w:before="140"/>
              <w:ind w:left="745" w:right="601" w:hanging="128"/>
              <w:jc w:val="left"/>
              <w:rPr>
                <w:sz w:val="14"/>
              </w:rPr>
            </w:pPr>
            <w:r>
              <w:rPr>
                <w:color w:val="020203"/>
                <w:sz w:val="14"/>
              </w:rPr>
              <w:t>QUOTA</w:t>
            </w:r>
            <w:r>
              <w:rPr>
                <w:color w:val="020203"/>
                <w:spacing w:val="-9"/>
                <w:sz w:val="14"/>
              </w:rPr>
              <w:t> </w:t>
            </w:r>
            <w:r>
              <w:rPr>
                <w:color w:val="020203"/>
                <w:sz w:val="14"/>
              </w:rPr>
              <w:t>ADULTI</w:t>
            </w:r>
            <w:r>
              <w:rPr>
                <w:color w:val="020203"/>
                <w:spacing w:val="40"/>
                <w:sz w:val="14"/>
              </w:rPr>
              <w:t> </w:t>
            </w:r>
            <w:r>
              <w:rPr>
                <w:color w:val="020203"/>
                <w:sz w:val="14"/>
              </w:rPr>
              <w:t>DAL</w:t>
            </w:r>
            <w:r>
              <w:rPr>
                <w:color w:val="020203"/>
                <w:spacing w:val="-8"/>
                <w:sz w:val="14"/>
              </w:rPr>
              <w:t> </w:t>
            </w:r>
            <w:r>
              <w:rPr>
                <w:color w:val="020203"/>
                <w:sz w:val="14"/>
              </w:rPr>
              <w:t>01/05</w:t>
            </w:r>
          </w:p>
        </w:tc>
        <w:tc>
          <w:tcPr>
            <w:tcW w:w="2162" w:type="dxa"/>
          </w:tcPr>
          <w:p>
            <w:pPr>
              <w:pStyle w:val="TableParagraph"/>
              <w:spacing w:line="225" w:lineRule="auto" w:before="140"/>
              <w:ind w:left="773" w:right="100" w:hanging="653"/>
              <w:jc w:val="left"/>
              <w:rPr>
                <w:sz w:val="14"/>
              </w:rPr>
            </w:pPr>
            <w:r>
              <w:rPr>
                <w:sz w:val="14"/>
              </w:rPr>
              <w:t>QUOTA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BAMBINI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2/12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ANNI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4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3°</w:t>
            </w:r>
            <w:r>
              <w:rPr>
                <w:spacing w:val="-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LETTO*</w:t>
            </w:r>
          </w:p>
        </w:tc>
        <w:tc>
          <w:tcPr>
            <w:tcW w:w="2162" w:type="dxa"/>
          </w:tcPr>
          <w:p>
            <w:pPr>
              <w:pStyle w:val="TableParagraph"/>
              <w:spacing w:before="37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RIDUZIONE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3°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LETTO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ADULTO</w:t>
            </w:r>
          </w:p>
        </w:tc>
      </w:tr>
      <w:tr>
        <w:trPr>
          <w:trHeight w:val="367" w:hRule="atLeast"/>
        </w:trPr>
        <w:tc>
          <w:tcPr>
            <w:tcW w:w="2162" w:type="dxa"/>
          </w:tcPr>
          <w:p>
            <w:pPr>
              <w:pStyle w:val="TableParagraph"/>
              <w:spacing w:before="87"/>
              <w:ind w:left="2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19/05-</w:t>
            </w:r>
            <w:r>
              <w:rPr>
                <w:color w:val="020203"/>
                <w:spacing w:val="-2"/>
                <w:sz w:val="16"/>
              </w:rPr>
              <w:t>26/05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87"/>
              <w:ind w:left="2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698</w:t>
            </w:r>
          </w:p>
        </w:tc>
        <w:tc>
          <w:tcPr>
            <w:tcW w:w="2162" w:type="dxa"/>
          </w:tcPr>
          <w:p>
            <w:pPr>
              <w:pStyle w:val="TableParagraph"/>
              <w:spacing w:before="87"/>
              <w:ind w:left="28"/>
              <w:rPr>
                <w:sz w:val="16"/>
              </w:rPr>
            </w:pPr>
            <w:r>
              <w:rPr>
                <w:spacing w:val="-5"/>
                <w:sz w:val="16"/>
              </w:rPr>
              <w:t>735</w:t>
            </w:r>
          </w:p>
        </w:tc>
        <w:tc>
          <w:tcPr>
            <w:tcW w:w="2162" w:type="dxa"/>
          </w:tcPr>
          <w:p>
            <w:pPr>
              <w:pStyle w:val="TableParagraph"/>
              <w:spacing w:before="87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87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7" w:hRule="atLeast"/>
        </w:trPr>
        <w:tc>
          <w:tcPr>
            <w:tcW w:w="2162" w:type="dxa"/>
          </w:tcPr>
          <w:p>
            <w:pPr>
              <w:pStyle w:val="TableParagraph"/>
              <w:spacing w:before="88"/>
              <w:ind w:left="2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26/05-02/06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88"/>
              <w:ind w:left="2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698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2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735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7" w:hRule="atLeast"/>
        </w:trPr>
        <w:tc>
          <w:tcPr>
            <w:tcW w:w="2162" w:type="dxa"/>
          </w:tcPr>
          <w:p>
            <w:pPr>
              <w:pStyle w:val="TableParagraph"/>
              <w:spacing w:before="88"/>
              <w:ind w:left="27"/>
              <w:rPr>
                <w:sz w:val="16"/>
              </w:rPr>
            </w:pPr>
            <w:r>
              <w:rPr>
                <w:color w:val="020203"/>
                <w:sz w:val="16"/>
              </w:rPr>
              <w:t>02/06-</w:t>
            </w:r>
            <w:r>
              <w:rPr>
                <w:color w:val="020203"/>
                <w:spacing w:val="-2"/>
                <w:sz w:val="16"/>
              </w:rPr>
              <w:t>09/06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88"/>
              <w:ind w:left="2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698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2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735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7" w:hRule="atLeast"/>
        </w:trPr>
        <w:tc>
          <w:tcPr>
            <w:tcW w:w="2162" w:type="dxa"/>
          </w:tcPr>
          <w:p>
            <w:pPr>
              <w:pStyle w:val="TableParagraph"/>
              <w:spacing w:before="88"/>
              <w:ind w:left="28"/>
              <w:rPr>
                <w:sz w:val="16"/>
              </w:rPr>
            </w:pPr>
            <w:r>
              <w:rPr>
                <w:color w:val="020203"/>
                <w:sz w:val="16"/>
              </w:rPr>
              <w:t>09/06-</w:t>
            </w:r>
            <w:r>
              <w:rPr>
                <w:color w:val="020203"/>
                <w:spacing w:val="-2"/>
                <w:sz w:val="16"/>
              </w:rPr>
              <w:t>16/06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88"/>
              <w:ind w:left="20" w:right="23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714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2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752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7" w:hRule="atLeast"/>
        </w:trPr>
        <w:tc>
          <w:tcPr>
            <w:tcW w:w="2162" w:type="dxa"/>
          </w:tcPr>
          <w:p>
            <w:pPr>
              <w:pStyle w:val="TableParagraph"/>
              <w:spacing w:before="88"/>
              <w:ind w:left="28"/>
              <w:rPr>
                <w:sz w:val="16"/>
              </w:rPr>
            </w:pPr>
            <w:r>
              <w:rPr>
                <w:color w:val="020203"/>
                <w:spacing w:val="-3"/>
                <w:sz w:val="16"/>
              </w:rPr>
              <w:t>16/06-</w:t>
            </w:r>
            <w:r>
              <w:rPr>
                <w:color w:val="020203"/>
                <w:spacing w:val="-2"/>
                <w:sz w:val="16"/>
              </w:rPr>
              <w:t>23/06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88"/>
              <w:ind w:lef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759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3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802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70" w:hRule="atLeast"/>
        </w:trPr>
        <w:tc>
          <w:tcPr>
            <w:tcW w:w="2162" w:type="dxa"/>
          </w:tcPr>
          <w:p>
            <w:pPr>
              <w:pStyle w:val="TableParagraph"/>
              <w:spacing w:before="89"/>
              <w:ind w:left="29"/>
              <w:rPr>
                <w:sz w:val="16"/>
              </w:rPr>
            </w:pPr>
            <w:r>
              <w:rPr>
                <w:color w:val="020203"/>
                <w:sz w:val="16"/>
              </w:rPr>
              <w:t>23/06-</w:t>
            </w:r>
            <w:r>
              <w:rPr>
                <w:color w:val="020203"/>
                <w:spacing w:val="-2"/>
                <w:sz w:val="16"/>
              </w:rPr>
              <w:t>30/06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89"/>
              <w:ind w:left="20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774</w:t>
            </w:r>
          </w:p>
        </w:tc>
        <w:tc>
          <w:tcPr>
            <w:tcW w:w="2162" w:type="dxa"/>
          </w:tcPr>
          <w:p>
            <w:pPr>
              <w:pStyle w:val="TableParagraph"/>
              <w:spacing w:before="89"/>
              <w:ind w:left="20" w:right="2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819</w:t>
            </w:r>
          </w:p>
        </w:tc>
        <w:tc>
          <w:tcPr>
            <w:tcW w:w="2162" w:type="dxa"/>
          </w:tcPr>
          <w:p>
            <w:pPr>
              <w:pStyle w:val="TableParagraph"/>
              <w:spacing w:before="89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020203"/>
                <w:sz w:val="16"/>
              </w:rPr>
              <w:t>30/06-</w:t>
            </w:r>
            <w:r>
              <w:rPr>
                <w:color w:val="020203"/>
                <w:spacing w:val="-4"/>
                <w:sz w:val="16"/>
              </w:rPr>
              <w:t>07/07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2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857</w:t>
            </w:r>
          </w:p>
        </w:tc>
        <w:tc>
          <w:tcPr>
            <w:tcW w:w="2162" w:type="dxa"/>
          </w:tcPr>
          <w:p>
            <w:pPr>
              <w:pStyle w:val="TableParagraph"/>
              <w:ind w:left="20" w:righ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911</w:t>
            </w:r>
          </w:p>
        </w:tc>
        <w:tc>
          <w:tcPr>
            <w:tcW w:w="2162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07/07-</w:t>
            </w:r>
            <w:r>
              <w:rPr>
                <w:color w:val="020203"/>
                <w:spacing w:val="-4"/>
                <w:sz w:val="16"/>
              </w:rPr>
              <w:t>14/07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24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872</w:t>
            </w:r>
          </w:p>
        </w:tc>
        <w:tc>
          <w:tcPr>
            <w:tcW w:w="2162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928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14/07-</w:t>
            </w:r>
            <w:r>
              <w:rPr>
                <w:color w:val="020203"/>
                <w:spacing w:val="-4"/>
                <w:sz w:val="16"/>
              </w:rPr>
              <w:t>21/07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3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902</w:t>
            </w:r>
          </w:p>
        </w:tc>
        <w:tc>
          <w:tcPr>
            <w:tcW w:w="2162" w:type="dxa"/>
          </w:tcPr>
          <w:p>
            <w:pPr>
              <w:pStyle w:val="TableParagraph"/>
              <w:ind w:left="20" w:right="2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961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73" w:hRule="atLeast"/>
        </w:trPr>
        <w:tc>
          <w:tcPr>
            <w:tcW w:w="2162" w:type="dxa"/>
          </w:tcPr>
          <w:p>
            <w:pPr>
              <w:pStyle w:val="TableParagraph"/>
              <w:spacing w:before="90"/>
              <w:ind w:left="30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21/07-</w:t>
            </w:r>
            <w:r>
              <w:rPr>
                <w:color w:val="020203"/>
                <w:spacing w:val="-4"/>
                <w:sz w:val="16"/>
              </w:rPr>
              <w:t>28/07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90"/>
              <w:ind w:left="3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925</w:t>
            </w:r>
          </w:p>
        </w:tc>
        <w:tc>
          <w:tcPr>
            <w:tcW w:w="2162" w:type="dxa"/>
          </w:tcPr>
          <w:p>
            <w:pPr>
              <w:pStyle w:val="TableParagraph"/>
              <w:spacing w:before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986</w:t>
            </w:r>
          </w:p>
        </w:tc>
        <w:tc>
          <w:tcPr>
            <w:tcW w:w="2162" w:type="dxa"/>
          </w:tcPr>
          <w:p>
            <w:pPr>
              <w:pStyle w:val="TableParagraph"/>
              <w:spacing w:before="90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90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98" w:hRule="atLeast"/>
        </w:trPr>
        <w:tc>
          <w:tcPr>
            <w:tcW w:w="2162" w:type="dxa"/>
          </w:tcPr>
          <w:p>
            <w:pPr>
              <w:pStyle w:val="TableParagraph"/>
              <w:spacing w:before="103"/>
              <w:ind w:left="31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28/07-04/08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103"/>
              <w:ind w:left="3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940</w:t>
            </w:r>
          </w:p>
        </w:tc>
        <w:tc>
          <w:tcPr>
            <w:tcW w:w="2162" w:type="dxa"/>
          </w:tcPr>
          <w:p>
            <w:pPr>
              <w:pStyle w:val="TableParagraph"/>
              <w:spacing w:before="103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1003</w:t>
            </w:r>
          </w:p>
        </w:tc>
        <w:tc>
          <w:tcPr>
            <w:tcW w:w="2162" w:type="dxa"/>
          </w:tcPr>
          <w:p>
            <w:pPr>
              <w:pStyle w:val="TableParagraph"/>
              <w:spacing w:before="103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103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04/08-11/08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35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1044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1117</w:t>
            </w:r>
          </w:p>
        </w:tc>
        <w:tc>
          <w:tcPr>
            <w:tcW w:w="2162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2162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11/08-</w:t>
            </w:r>
            <w:r>
              <w:rPr>
                <w:color w:val="020203"/>
                <w:spacing w:val="-2"/>
                <w:sz w:val="16"/>
              </w:rPr>
              <w:t>18/08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36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1044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1117</w:t>
            </w:r>
          </w:p>
        </w:tc>
        <w:tc>
          <w:tcPr>
            <w:tcW w:w="2162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2162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color w:val="020203"/>
                <w:spacing w:val="-3"/>
                <w:sz w:val="16"/>
              </w:rPr>
              <w:t>18/08-</w:t>
            </w:r>
            <w:r>
              <w:rPr>
                <w:color w:val="020203"/>
                <w:spacing w:val="-2"/>
                <w:sz w:val="16"/>
              </w:rPr>
              <w:t>25/08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20" w:right="2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1012</w:t>
            </w:r>
          </w:p>
        </w:tc>
        <w:tc>
          <w:tcPr>
            <w:tcW w:w="2162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1082</w:t>
            </w:r>
          </w:p>
        </w:tc>
        <w:tc>
          <w:tcPr>
            <w:tcW w:w="2162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2162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25/08-01/09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964</w:t>
            </w:r>
          </w:p>
        </w:tc>
        <w:tc>
          <w:tcPr>
            <w:tcW w:w="2162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1029</w:t>
            </w:r>
          </w:p>
        </w:tc>
        <w:tc>
          <w:tcPr>
            <w:tcW w:w="2162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2162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01/09-</w:t>
            </w:r>
            <w:r>
              <w:rPr>
                <w:color w:val="020203"/>
                <w:spacing w:val="-2"/>
                <w:sz w:val="16"/>
              </w:rPr>
              <w:t>08/09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20" w:right="20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819</w:t>
            </w:r>
          </w:p>
        </w:tc>
        <w:tc>
          <w:tcPr>
            <w:tcW w:w="2162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869</w:t>
            </w:r>
          </w:p>
        </w:tc>
        <w:tc>
          <w:tcPr>
            <w:tcW w:w="2162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z w:val="16"/>
              </w:rPr>
              <w:t>08/09-</w:t>
            </w:r>
            <w:r>
              <w:rPr>
                <w:color w:val="020203"/>
                <w:spacing w:val="-2"/>
                <w:sz w:val="16"/>
              </w:rPr>
              <w:t>15/09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20" w:right="2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751</w:t>
            </w:r>
          </w:p>
        </w:tc>
        <w:tc>
          <w:tcPr>
            <w:tcW w:w="2162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794</w:t>
            </w:r>
          </w:p>
        </w:tc>
        <w:tc>
          <w:tcPr>
            <w:tcW w:w="2162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15/09-</w:t>
            </w:r>
            <w:r>
              <w:rPr>
                <w:spacing w:val="-2"/>
                <w:sz w:val="16"/>
              </w:rPr>
              <w:t>22/09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34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729</w:t>
            </w:r>
          </w:p>
        </w:tc>
        <w:tc>
          <w:tcPr>
            <w:tcW w:w="2162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769</w:t>
            </w:r>
          </w:p>
        </w:tc>
        <w:tc>
          <w:tcPr>
            <w:tcW w:w="2162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spacing w:before="74"/>
              <w:ind w:left="33"/>
              <w:rPr>
                <w:sz w:val="16"/>
              </w:rPr>
            </w:pPr>
            <w:r>
              <w:rPr>
                <w:sz w:val="16"/>
              </w:rPr>
              <w:t>22/09-</w:t>
            </w:r>
            <w:r>
              <w:rPr>
                <w:spacing w:val="-2"/>
                <w:sz w:val="16"/>
              </w:rPr>
              <w:t>29/09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74"/>
              <w:ind w:left="34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729</w:t>
            </w:r>
          </w:p>
        </w:tc>
        <w:tc>
          <w:tcPr>
            <w:tcW w:w="2162" w:type="dxa"/>
          </w:tcPr>
          <w:p>
            <w:pPr>
              <w:pStyle w:val="TableParagraph"/>
              <w:spacing w:before="74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769</w:t>
            </w:r>
          </w:p>
        </w:tc>
        <w:tc>
          <w:tcPr>
            <w:tcW w:w="2162" w:type="dxa"/>
          </w:tcPr>
          <w:p>
            <w:pPr>
              <w:pStyle w:val="TableParagraph"/>
              <w:spacing w:before="74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74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spacing w:before="74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29/09-</w:t>
            </w:r>
            <w:r>
              <w:rPr>
                <w:spacing w:val="-4"/>
                <w:sz w:val="16"/>
              </w:rPr>
              <w:t>06/10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74"/>
              <w:ind w:left="20" w:right="20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714</w:t>
            </w:r>
          </w:p>
        </w:tc>
        <w:tc>
          <w:tcPr>
            <w:tcW w:w="2162" w:type="dxa"/>
          </w:tcPr>
          <w:p>
            <w:pPr>
              <w:pStyle w:val="TableParagraph"/>
              <w:spacing w:before="74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752</w:t>
            </w:r>
          </w:p>
        </w:tc>
        <w:tc>
          <w:tcPr>
            <w:tcW w:w="2162" w:type="dxa"/>
          </w:tcPr>
          <w:p>
            <w:pPr>
              <w:pStyle w:val="TableParagraph"/>
              <w:spacing w:before="74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74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</w:tbl>
    <w:p>
      <w:pPr>
        <w:pStyle w:val="BodyText"/>
        <w:spacing w:before="28"/>
      </w:pPr>
    </w:p>
    <w:p>
      <w:pPr>
        <w:pStyle w:val="BodyText"/>
        <w:spacing w:line="256" w:lineRule="auto" w:before="1"/>
        <w:ind w:left="107"/>
      </w:pPr>
      <w:r>
        <w:rPr>
          <w:color w:val="020203"/>
        </w:rPr>
        <w:t>Nota bene : Le tariffe sono dinamiche e le quote indicate in tabella sono da considerarsi “a partire da”, può accadere che in fase di preventivo</w:t>
      </w:r>
      <w:r>
        <w:rPr>
          <w:color w:val="020203"/>
          <w:spacing w:val="80"/>
        </w:rPr>
        <w:t> </w:t>
      </w:r>
      <w:r>
        <w:rPr>
          <w:color w:val="020203"/>
        </w:rPr>
        <w:t>vengano aggiornate con i prezzi reali del momento</w:t>
      </w:r>
    </w:p>
    <w:p>
      <w:pPr>
        <w:pStyle w:val="BodyText"/>
        <w:spacing w:before="15"/>
      </w:pPr>
    </w:p>
    <w:p>
      <w:pPr>
        <w:spacing w:before="0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LA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QUOTA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COMPRENDE: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pacing w:val="-2"/>
          <w:sz w:val="16"/>
        </w:rPr>
        <w:t>-Volo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da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Milano</w:t>
      </w:r>
      <w:r>
        <w:rPr>
          <w:color w:val="020203"/>
          <w:spacing w:val="2"/>
          <w:sz w:val="16"/>
        </w:rPr>
        <w:t> </w:t>
      </w:r>
      <w:r>
        <w:rPr>
          <w:color w:val="020203"/>
          <w:spacing w:val="-2"/>
          <w:sz w:val="16"/>
        </w:rPr>
        <w:t>Malpensa,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Bergamo,</w:t>
      </w:r>
      <w:r>
        <w:rPr>
          <w:color w:val="020203"/>
          <w:spacing w:val="2"/>
          <w:sz w:val="16"/>
        </w:rPr>
        <w:t> </w:t>
      </w:r>
      <w:r>
        <w:rPr>
          <w:color w:val="020203"/>
          <w:spacing w:val="-2"/>
          <w:sz w:val="16"/>
        </w:rPr>
        <w:t>Verona,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Fiumicino,</w:t>
      </w:r>
      <w:r>
        <w:rPr>
          <w:color w:val="020203"/>
          <w:spacing w:val="2"/>
          <w:sz w:val="16"/>
        </w:rPr>
        <w:t> </w:t>
      </w:r>
      <w:r>
        <w:rPr>
          <w:color w:val="020203"/>
          <w:spacing w:val="-2"/>
          <w:sz w:val="16"/>
        </w:rPr>
        <w:t>Bologna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-Trasferimento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per/da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struttura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collettivo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-7nt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partenza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lunedi in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camera doppia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classic </w:t>
      </w:r>
      <w:r>
        <w:rPr>
          <w:color w:val="020203"/>
          <w:spacing w:val="-2"/>
          <w:sz w:val="16"/>
        </w:rPr>
        <w:t>garden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-infant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gratis nel letto con i </w:t>
      </w:r>
      <w:r>
        <w:rPr>
          <w:color w:val="020203"/>
          <w:spacing w:val="-2"/>
          <w:sz w:val="16"/>
        </w:rPr>
        <w:t>genitori</w:t>
      </w:r>
    </w:p>
    <w:p>
      <w:pPr>
        <w:spacing w:line="240" w:lineRule="auto" w:before="30"/>
        <w:rPr>
          <w:sz w:val="16"/>
        </w:rPr>
      </w:pPr>
    </w:p>
    <w:p>
      <w:pPr>
        <w:spacing w:before="0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LA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QUOTA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NON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COMPRENDE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(integrazioni</w:t>
      </w:r>
      <w:r>
        <w:rPr>
          <w:color w:val="020203"/>
          <w:spacing w:val="-4"/>
          <w:sz w:val="16"/>
        </w:rPr>
        <w:t> </w:t>
      </w:r>
      <w:r>
        <w:rPr>
          <w:color w:val="020203"/>
          <w:spacing w:val="-2"/>
          <w:sz w:val="16"/>
        </w:rPr>
        <w:t>obbligatorie):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-eventuale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Supplemento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volo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Infant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5"/>
          <w:sz w:val="16"/>
        </w:rPr>
        <w:t>70€</w:t>
      </w:r>
    </w:p>
    <w:p>
      <w:pPr>
        <w:spacing w:before="14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-Nicolino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Card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98€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settimana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eventuale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infant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-Tasse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aeroportuali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ed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oneri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accessori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netto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79€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p/pax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partire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dai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3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4"/>
          <w:sz w:val="16"/>
        </w:rPr>
        <w:t>anni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-Oneri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Gestione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Carburante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39€ p/pax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partire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dai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2 </w:t>
      </w:r>
      <w:r>
        <w:rPr>
          <w:color w:val="020203"/>
          <w:spacing w:val="-4"/>
          <w:sz w:val="16"/>
        </w:rPr>
        <w:t>anni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-Assicurazione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Viaggia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Sereno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Extra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inscindibile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pari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3,4%della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prenotazione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-Eventuali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servizi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extra;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-Tutto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quanto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non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espressamente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indicato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nella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voce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“la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quota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comprende”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-Quote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gestione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pratica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100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Bambini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5"/>
          <w:sz w:val="16"/>
        </w:rPr>
        <w:t>50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-Imposta di bollo </w:t>
      </w:r>
      <w:r>
        <w:rPr>
          <w:color w:val="020203"/>
          <w:spacing w:val="-7"/>
          <w:sz w:val="16"/>
        </w:rPr>
        <w:t>2€</w:t>
      </w:r>
    </w:p>
    <w:sectPr>
      <w:pgSz w:w="11910" w:h="16840"/>
      <w:pgMar w:top="660" w:bottom="0" w:left="2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36" w:right="5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3"/>
      <w:ind w:left="32" w:right="17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2025-02-25T10:00:21Z</dcterms:created>
  <dcterms:modified xsi:type="dcterms:W3CDTF">2025-02-25T10:00:21Z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</Properties>
</file>