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62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73888" id="docshapegroup1" coordorigin="0,0" coordsize="11986,16838">
                <v:shape style="position:absolute;left:0;top:0;width:11906;height:104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5"/>
        </w:rPr>
        <w:t> </w:t>
      </w:r>
      <w:r>
        <w:rPr>
          <w:color w:val="FFFFFF"/>
        </w:rPr>
        <w:t>DELFINO</w:t>
      </w:r>
      <w:r>
        <w:rPr>
          <w:color w:val="FFFFFF"/>
          <w:spacing w:val="-4"/>
        </w:rPr>
        <w:t> </w:t>
      </w:r>
      <w:r>
        <w:rPr>
          <w:color w:val="FFFFFF"/>
        </w:rPr>
        <w:t>BEACH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RESORT</w:t>
      </w:r>
    </w:p>
    <w:p>
      <w:pPr>
        <w:spacing w:before="332"/>
        <w:ind w:left="28" w:right="7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TUNISIA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HAMMAMET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2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z w:val="34"/>
        </w:rPr>
        <w:t>OTTOBRE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2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2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28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7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1624</w:t>
      </w:r>
      <w:r>
        <w:rPr>
          <w:rFonts w:ascii="Futura PT" w:hAnsi="Futura PT"/>
          <w:b/>
          <w:color w:val="FFFFFF"/>
          <w:spacing w:val="-9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2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STANDARD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4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774" w:right="751" w:firstLine="0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Ad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Hammamet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accoglierà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un’atmosfera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rilassata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vivace,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spesso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animata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festival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musicali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 eventi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teatrali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culturali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sono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valsi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città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l’appellativo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“Saint-Tropez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tunisina”.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Non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man- ca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però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anche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fascino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tradizionale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medina,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zona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antica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città: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viuzze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strette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cui si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aprono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porte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dai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colori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sgargianti,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cui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si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strada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l’odore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delle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spezie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profumo</w:t>
      </w:r>
      <w:r>
        <w:rPr>
          <w:rFonts w:ascii="Futura PT" w:hAnsi="Futura PT"/>
          <w:b/>
          <w:color w:val="FFFFFF"/>
          <w:spacing w:val="-9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mare.A pochi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chilometri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qui,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troverete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Bravo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Delfino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Beach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Resort: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affacciato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spiaggia</w:t>
      </w:r>
      <w:r>
        <w:rPr>
          <w:rFonts w:ascii="Futura PT" w:hAnsi="Futura PT"/>
          <w:b/>
          <w:color w:val="FFFFFF"/>
          <w:spacing w:val="-1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sabbiosa e frequentato anche da clientela locale e internazionale, sarà la cornice perfetta per una vacanza che unisce la tranquillità della costa tunisina alla sua anima più colorata e divertente.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600" w:right="620"/>
        </w:sectPr>
      </w:pPr>
    </w:p>
    <w:p>
      <w:pPr>
        <w:pStyle w:val="BodyText"/>
        <w:ind w:left="414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897" w:right="2548" w:hanging="506"/>
        <w:jc w:val="left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BRAVO</w:t>
      </w:r>
      <w:r>
        <w:rPr>
          <w:rFonts w:ascii="Roboto Slab"/>
          <w:color w:val="E95B19"/>
          <w:spacing w:val="-14"/>
          <w:sz w:val="24"/>
        </w:rPr>
        <w:t> </w:t>
      </w:r>
      <w:r>
        <w:rPr>
          <w:rFonts w:ascii="Roboto Slab"/>
          <w:color w:val="E95B19"/>
          <w:sz w:val="24"/>
        </w:rPr>
        <w:t>DELFINO</w:t>
      </w:r>
      <w:r>
        <w:rPr>
          <w:rFonts w:ascii="Roboto Slab"/>
          <w:color w:val="E95B19"/>
          <w:spacing w:val="-14"/>
          <w:sz w:val="24"/>
        </w:rPr>
        <w:t> </w:t>
      </w:r>
      <w:r>
        <w:rPr>
          <w:rFonts w:ascii="Roboto Slab"/>
          <w:color w:val="E95B19"/>
          <w:sz w:val="24"/>
        </w:rPr>
        <w:t>BEACH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RESORT TUNISIA - HAMMAMET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right="161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1°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2/12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left="18" w:right="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2°/3°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2/12 ANNI</w:t>
            </w:r>
          </w:p>
          <w:p>
            <w:pPr>
              <w:pStyle w:val="TableParagraph"/>
              <w:spacing w:line="172" w:lineRule="exact" w:before="0"/>
              <w:ind w:right="163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12/05/25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18/05/25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355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369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19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171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19/05/25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25/05/25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393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408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8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189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26/05/25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421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437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8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203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02/06/25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08/06/25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458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476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8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9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221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09/06/25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552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574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8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273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16/06/25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22/06/25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599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622</w:t>
            </w:r>
          </w:p>
        </w:tc>
        <w:tc>
          <w:tcPr>
            <w:tcW w:w="1674" w:type="dxa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8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294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23/06/25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29/06/25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655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681</w:t>
            </w:r>
          </w:p>
        </w:tc>
        <w:tc>
          <w:tcPr>
            <w:tcW w:w="1674" w:type="dxa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70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30/06/25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712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740</w:t>
            </w:r>
          </w:p>
        </w:tc>
        <w:tc>
          <w:tcPr>
            <w:tcW w:w="1674" w:type="dxa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70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21/07/25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779</w:t>
            </w:r>
          </w:p>
        </w:tc>
        <w:tc>
          <w:tcPr>
            <w:tcW w:w="1674" w:type="dxa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89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28/07/25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779</w:t>
            </w:r>
          </w:p>
        </w:tc>
        <w:tc>
          <w:tcPr>
            <w:tcW w:w="1674" w:type="dxa"/>
          </w:tcPr>
          <w:p>
            <w:pPr>
              <w:pStyle w:val="TableParagraph"/>
              <w:ind w:right="185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89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04/08/25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10/08/25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900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935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70"/>
              <w:rPr>
                <w:sz w:val="16"/>
              </w:rPr>
            </w:pPr>
            <w:r>
              <w:rPr>
                <w:spacing w:val="-5"/>
                <w:sz w:val="16"/>
              </w:rPr>
              <w:t>503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11/08/25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17/08/25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1010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1050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674" w:type="dxa"/>
          </w:tcPr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pacing w:val="-5"/>
                <w:sz w:val="16"/>
              </w:rPr>
              <w:t>570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18/08/25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900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935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506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25/08/25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779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88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01/09/25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655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681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79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08/09/25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562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583</w:t>
            </w:r>
          </w:p>
        </w:tc>
        <w:tc>
          <w:tcPr>
            <w:tcW w:w="1674" w:type="dxa"/>
          </w:tcPr>
          <w:p>
            <w:pPr>
              <w:pStyle w:val="TableParagraph"/>
              <w:ind w:right="184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15/09/25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505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525</w:t>
            </w:r>
          </w:p>
        </w:tc>
        <w:tc>
          <w:tcPr>
            <w:tcW w:w="1674" w:type="dxa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22/09/25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458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476</w:t>
            </w:r>
          </w:p>
        </w:tc>
        <w:tc>
          <w:tcPr>
            <w:tcW w:w="1674" w:type="dxa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29/09/25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05/10/25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364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379</w:t>
            </w:r>
          </w:p>
        </w:tc>
        <w:tc>
          <w:tcPr>
            <w:tcW w:w="1674" w:type="dxa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87"/>
              <w:rPr>
                <w:sz w:val="16"/>
              </w:rPr>
            </w:pPr>
            <w:r>
              <w:rPr>
                <w:spacing w:val="-5"/>
                <w:sz w:val="16"/>
              </w:rPr>
              <w:t>174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06/10/25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12/10/25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346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359</w:t>
            </w:r>
          </w:p>
        </w:tc>
        <w:tc>
          <w:tcPr>
            <w:tcW w:w="1674" w:type="dxa"/>
          </w:tcPr>
          <w:p>
            <w:pPr>
              <w:pStyle w:val="TableParagraph"/>
              <w:ind w:right="183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</w:tr>
    </w:tbl>
    <w:p>
      <w:pPr>
        <w:pStyle w:val="BodyText"/>
        <w:spacing w:line="220" w:lineRule="auto" w:before="203"/>
        <w:ind w:left="105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00" w:lineRule="exact" w:before="180"/>
        <w:ind w:left="105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192" w:lineRule="exact"/>
        <w:ind w:left="105"/>
      </w:pPr>
      <w:r>
        <w:rPr/>
        <w:t>In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bungalow</w:t>
      </w:r>
      <w:r>
        <w:rPr>
          <w:spacing w:val="2"/>
        </w:rPr>
        <w:t> </w:t>
      </w:r>
      <w:r>
        <w:rPr/>
        <w:t>vista</w:t>
      </w:r>
      <w:r>
        <w:rPr>
          <w:spacing w:val="2"/>
        </w:rPr>
        <w:t> </w:t>
      </w:r>
      <w:r>
        <w:rPr/>
        <w:t>mare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2"/>
        </w:rPr>
        <w:t>adulti</w:t>
      </w:r>
    </w:p>
    <w:p>
      <w:pPr>
        <w:pStyle w:val="BodyText"/>
        <w:spacing w:line="220" w:lineRule="auto" w:before="5"/>
        <w:ind w:left="105" w:right="4931"/>
      </w:pPr>
      <w:r>
        <w:rPr/>
        <w:t>Relax vista piscina 3 adulti (minimo 2 adulti) = stesse quote delle standard in vista mare laterale 2 adulti + 1 infant</w:t>
      </w:r>
    </w:p>
    <w:p>
      <w:pPr>
        <w:pStyle w:val="BodyText"/>
        <w:spacing w:line="196" w:lineRule="exact"/>
        <w:ind w:left="105"/>
      </w:pPr>
      <w:r>
        <w:rPr/>
        <w:t>in</w:t>
      </w:r>
      <w:r>
        <w:rPr>
          <w:spacing w:val="3"/>
        </w:rPr>
        <w:t> </w:t>
      </w:r>
      <w:r>
        <w:rPr/>
        <w:t>family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adulti</w:t>
      </w:r>
      <w:r>
        <w:rPr>
          <w:spacing w:val="3"/>
        </w:rPr>
        <w:t> </w:t>
      </w:r>
      <w:r>
        <w:rPr/>
        <w:t>(minimo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adulti</w:t>
      </w:r>
      <w:r>
        <w:rPr>
          <w:spacing w:val="3"/>
        </w:rPr>
        <w:t> </w:t>
      </w:r>
      <w:r>
        <w:rPr/>
        <w:t>+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>
          <w:spacing w:val="-2"/>
        </w:rPr>
        <w:t>bambini)</w:t>
      </w:r>
    </w:p>
    <w:p>
      <w:pPr>
        <w:pStyle w:val="BodyText"/>
        <w:spacing w:before="175"/>
        <w:ind w:left="105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200" w:lineRule="exact" w:before="176"/>
        <w:ind w:left="105"/>
      </w:pPr>
      <w:r>
        <w:rPr/>
        <w:t>Riduz.3°</w:t>
      </w:r>
      <w:r>
        <w:rPr>
          <w:spacing w:val="1"/>
        </w:rPr>
        <w:t> </w:t>
      </w:r>
      <w:r>
        <w:rPr/>
        <w:t>letto</w:t>
      </w:r>
      <w:r>
        <w:rPr>
          <w:spacing w:val="1"/>
        </w:rPr>
        <w:t> </w:t>
      </w:r>
      <w:r>
        <w:rPr/>
        <w:t>adulto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settimana</w:t>
      </w:r>
    </w:p>
    <w:p>
      <w:pPr>
        <w:pStyle w:val="BodyText"/>
        <w:spacing w:line="220" w:lineRule="auto" w:before="5"/>
        <w:ind w:left="105" w:right="2548"/>
      </w:pPr>
      <w:r>
        <w:rPr/>
        <w:t>Riduzione 3°-4°-5° adulto (in Family) da € 20 (attenzione da calcolare prima il supp. Family per persona) Suppl. Singola da € 80 a settimana con disponibilità limitata</w:t>
      </w:r>
    </w:p>
    <w:p>
      <w:pPr>
        <w:pStyle w:val="BodyText"/>
        <w:spacing w:line="220" w:lineRule="auto"/>
        <w:ind w:left="105" w:right="6046"/>
      </w:pPr>
      <w:r>
        <w:rPr/>
        <w:t>Suppl. camera Vista Mare Laterale da € 35 a settimana Suppl. camera Family</w:t>
      </w:r>
      <w:r>
        <w:rPr>
          <w:spacing w:val="40"/>
        </w:rPr>
        <w:t> </w:t>
      </w:r>
      <w:r>
        <w:rPr/>
        <w:t>da € 40 a Settimana</w:t>
      </w:r>
    </w:p>
    <w:p>
      <w:pPr>
        <w:pStyle w:val="BodyText"/>
        <w:spacing w:line="196" w:lineRule="exact"/>
        <w:ind w:left="105"/>
      </w:pPr>
      <w:r>
        <w:rPr/>
        <w:t>Supp.</w:t>
      </w:r>
      <w:r>
        <w:rPr>
          <w:spacing w:val="1"/>
        </w:rPr>
        <w:t> </w:t>
      </w:r>
      <w:r>
        <w:rPr/>
        <w:t>Bungalow</w:t>
      </w:r>
      <w:r>
        <w:rPr>
          <w:spacing w:val="2"/>
        </w:rPr>
        <w:t> </w:t>
      </w:r>
      <w:r>
        <w:rPr/>
        <w:t>Vista</w:t>
      </w:r>
      <w:r>
        <w:rPr>
          <w:spacing w:val="2"/>
        </w:rPr>
        <w:t> </w:t>
      </w:r>
      <w:r>
        <w:rPr/>
        <w:t>Mare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Settimana</w:t>
      </w:r>
    </w:p>
    <w:p>
      <w:pPr>
        <w:pStyle w:val="BodyText"/>
        <w:spacing w:before="176"/>
        <w:ind w:left="105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8" w:right="11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78" w:right="169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2025-03-27T17:04:08Z</dcterms:created>
  <dcterms:modified xsi:type="dcterms:W3CDTF">2025-03-27T17:04:08Z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