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 </w:t>
      </w:r>
      <w:r>
        <w:rPr>
          <w:color w:val="FFFDF0"/>
        </w:rPr>
        <w:t>CAPODANNO</w:t>
      </w:r>
      <w:r>
        <w:rPr>
          <w:color w:val="FFFDF0"/>
          <w:spacing w:val="-45"/>
        </w:rPr>
        <w:t> </w:t>
      </w:r>
      <w:r>
        <w:rPr>
          <w:color w:val="FFFDF0"/>
        </w:rPr>
        <w:t>A</w:t>
      </w:r>
      <w:r>
        <w:rPr>
          <w:color w:val="FFFDF0"/>
          <w:spacing w:val="-44"/>
        </w:rPr>
        <w:t> </w:t>
      </w:r>
      <w:r>
        <w:rPr>
          <w:color w:val="FFFDF0"/>
        </w:rPr>
        <w:t>MADRID</w:t>
      </w:r>
    </w:p>
    <w:p>
      <w:pPr>
        <w:spacing w:before="86"/>
        <w:ind w:left="3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MADRID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AVILA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SEGOVIA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TOLEDO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29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02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308" w:lineRule="exact" w:before="0"/>
        <w:ind w:left="585" w:right="0" w:firstLine="0"/>
        <w:jc w:val="left"/>
        <w:rPr>
          <w:sz w:val="22"/>
        </w:rPr>
      </w:pPr>
      <w:r>
        <w:rPr>
          <w:color w:val="FFFDF0"/>
          <w:sz w:val="26"/>
        </w:rPr>
        <w:t>5</w:t>
      </w:r>
      <w:r>
        <w:rPr>
          <w:color w:val="FFFDF0"/>
          <w:spacing w:val="-5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4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5"/>
          <w:sz w:val="26"/>
        </w:rPr>
        <w:t> </w:t>
      </w:r>
      <w:r>
        <w:rPr>
          <w:color w:val="FFFDF0"/>
          <w:sz w:val="26"/>
        </w:rPr>
        <w:t>4</w:t>
      </w:r>
      <w:r>
        <w:rPr>
          <w:color w:val="FFFDF0"/>
          <w:spacing w:val="-4"/>
          <w:sz w:val="26"/>
        </w:rPr>
        <w:t> </w:t>
      </w:r>
      <w:r>
        <w:rPr>
          <w:color w:val="FFFDF0"/>
          <w:sz w:val="26"/>
        </w:rPr>
        <w:t>notti|</w:t>
      </w:r>
      <w:r>
        <w:rPr>
          <w:color w:val="FFFDF0"/>
          <w:spacing w:val="1"/>
          <w:sz w:val="26"/>
        </w:rPr>
        <w:t> </w:t>
      </w:r>
      <w:r>
        <w:rPr>
          <w:b/>
          <w:color w:val="FFFDF0"/>
          <w:sz w:val="22"/>
        </w:rPr>
        <w:t>PERNOTTAMENTO</w:t>
      </w:r>
      <w:r>
        <w:rPr>
          <w:b/>
          <w:color w:val="FFFDF0"/>
          <w:spacing w:val="6"/>
          <w:sz w:val="22"/>
        </w:rPr>
        <w:t> </w:t>
      </w:r>
      <w:r>
        <w:rPr>
          <w:b/>
          <w:color w:val="FFFDF0"/>
          <w:sz w:val="22"/>
        </w:rPr>
        <w:t>E</w:t>
      </w:r>
      <w:r>
        <w:rPr>
          <w:b/>
          <w:color w:val="FFFDF0"/>
          <w:spacing w:val="5"/>
          <w:sz w:val="22"/>
        </w:rPr>
        <w:t> </w:t>
      </w:r>
      <w:r>
        <w:rPr>
          <w:b/>
          <w:color w:val="FFFDF0"/>
          <w:sz w:val="22"/>
        </w:rPr>
        <w:t>PRIMA</w:t>
      </w:r>
      <w:r>
        <w:rPr>
          <w:b/>
          <w:color w:val="FFFDF0"/>
          <w:spacing w:val="6"/>
          <w:sz w:val="22"/>
        </w:rPr>
        <w:t> </w:t>
      </w:r>
      <w:r>
        <w:rPr>
          <w:b/>
          <w:color w:val="FFFDF0"/>
          <w:sz w:val="22"/>
        </w:rPr>
        <w:t>COLAZIONE </w:t>
      </w:r>
      <w:r>
        <w:rPr>
          <w:color w:val="FFFDF0"/>
          <w:sz w:val="22"/>
        </w:rPr>
        <w:t>+</w:t>
      </w:r>
      <w:r>
        <w:rPr>
          <w:color w:val="FFFDF0"/>
          <w:spacing w:val="-4"/>
          <w:sz w:val="22"/>
        </w:rPr>
        <w:t> </w:t>
      </w:r>
      <w:r>
        <w:rPr>
          <w:color w:val="FFFDF0"/>
          <w:sz w:val="22"/>
        </w:rPr>
        <w:t>2</w:t>
      </w:r>
      <w:r>
        <w:rPr>
          <w:color w:val="FFFDF0"/>
          <w:spacing w:val="1"/>
          <w:sz w:val="22"/>
        </w:rPr>
        <w:t> </w:t>
      </w:r>
      <w:r>
        <w:rPr>
          <w:color w:val="FFFDF0"/>
          <w:spacing w:val="-4"/>
          <w:sz w:val="22"/>
        </w:rPr>
        <w:t>CENE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829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7062" w:space="1158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71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sedile,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30" w:hanging="36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Madrid/Avila/Monastero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dell’Escorial/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Segovia/Toledo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6" w:lineRule="auto" w:before="99" w:after="0"/>
        <w:ind w:left="564" w:right="1100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6" w:lineRule="auto" w:before="0" w:after="0"/>
        <w:ind w:left="564" w:right="669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50€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persona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dall’italia),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96" w:lineRule="auto" w:before="0" w:after="0"/>
        <w:ind w:left="564" w:right="776" w:hanging="360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ai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monumenti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55€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50" w:lineRule="exact" w:before="0" w:after="0"/>
        <w:ind w:left="564" w:right="0" w:hanging="36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60" w:lineRule="exact" w:before="0" w:after="0"/>
        <w:ind w:left="564" w:right="0" w:hanging="36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64" w:val="left" w:leader="none"/>
        </w:tabs>
        <w:spacing w:line="178" w:lineRule="exact" w:before="0" w:after="0"/>
        <w:ind w:left="564" w:right="0" w:hanging="36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404" w:space="40"/>
            <w:col w:w="561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8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4793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09" w:lineRule="exact" w:before="3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4357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59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a</w:t>
      </w:r>
      <w:r>
        <w:rPr>
          <w:b/>
          <w:color w:val="1E2F46"/>
          <w:spacing w:val="-1"/>
          <w:sz w:val="28"/>
        </w:rPr>
        <w:t> </w:t>
      </w:r>
      <w:r>
        <w:rPr>
          <w:b/>
          <w:color w:val="1E2F46"/>
          <w:spacing w:val="-2"/>
          <w:sz w:val="28"/>
        </w:rPr>
        <w:t>Madrid</w:t>
      </w:r>
    </w:p>
    <w:p>
      <w:pPr>
        <w:spacing w:line="211" w:lineRule="exact" w:before="0"/>
        <w:ind w:left="2806" w:right="0" w:firstLine="0"/>
        <w:jc w:val="left"/>
        <w:rPr>
          <w:rFonts w:ascii="Calibri Light"/>
          <w:i/>
          <w:sz w:val="20"/>
        </w:rPr>
      </w:pPr>
      <w:r>
        <w:rPr>
          <w:rFonts w:ascii="Calibri Light"/>
          <w:i/>
          <w:color w:val="1E2F46"/>
          <w:sz w:val="20"/>
        </w:rPr>
        <w:t>Madrid</w:t>
      </w:r>
      <w:r>
        <w:rPr>
          <w:rFonts w:ascii="Calibri Light"/>
          <w:i/>
          <w:color w:val="1E2F46"/>
          <w:spacing w:val="-2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2"/>
          <w:sz w:val="20"/>
        </w:rPr>
        <w:t> </w:t>
      </w:r>
      <w:r>
        <w:rPr>
          <w:rFonts w:ascii="Calibri Light"/>
          <w:i/>
          <w:color w:val="1E2F46"/>
          <w:sz w:val="20"/>
        </w:rPr>
        <w:t>Avila</w:t>
      </w:r>
      <w:r>
        <w:rPr>
          <w:rFonts w:ascii="Calibri Light"/>
          <w:i/>
          <w:color w:val="1E2F46"/>
          <w:spacing w:val="-2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2"/>
          <w:sz w:val="20"/>
        </w:rPr>
        <w:t> </w:t>
      </w:r>
      <w:r>
        <w:rPr>
          <w:rFonts w:ascii="Calibri Light"/>
          <w:i/>
          <w:color w:val="1E2F46"/>
          <w:sz w:val="20"/>
        </w:rPr>
        <w:t>Segovia</w:t>
      </w:r>
      <w:r>
        <w:rPr>
          <w:rFonts w:ascii="Calibri Light"/>
          <w:i/>
          <w:color w:val="1E2F46"/>
          <w:spacing w:val="-2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2"/>
          <w:sz w:val="20"/>
        </w:rPr>
        <w:t> Toledo</w:t>
      </w: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spacing w:before="83"/>
        <w:rPr>
          <w:rFonts w:ascii="Calibri Light"/>
          <w:i/>
          <w:sz w:val="20"/>
        </w:rPr>
      </w:pPr>
    </w:p>
    <w:tbl>
      <w:tblPr>
        <w:tblW w:w="0" w:type="auto"/>
        <w:jc w:val="left"/>
        <w:tblInd w:w="176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ind w:left="2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ind w:left="29" w:right="1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46" w:lineRule="auto"/>
              <w:ind w:left="578" w:right="17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15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7"/>
        <w:rPr>
          <w:rFonts w:ascii="Calibri Light"/>
          <w:i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pStyle w:val="BodyText"/>
        <w:spacing w:before="49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pStyle w:val="BodyText"/>
        <w:spacing w:line="271" w:lineRule="auto" w:before="25"/>
        <w:ind w:left="141"/>
        <w:rPr>
          <w:b/>
        </w:rPr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Madrid.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6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 alle 20:00. Cena e pernottamento in hotel</w:t>
      </w:r>
      <w:r>
        <w:rPr>
          <w:b/>
          <w:color w:val="1E2F46"/>
        </w:rPr>
        <w:t>.</w:t>
      </w:r>
    </w:p>
    <w:p>
      <w:pPr>
        <w:pStyle w:val="BodyText"/>
        <w:spacing w:before="23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ÁVILA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MONASTERO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DELL’ESCORIAL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pStyle w:val="BodyText"/>
        <w:spacing w:line="271" w:lineRule="auto" w:before="25"/>
        <w:ind w:left="141" w:right="15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08:15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direzione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Ávila.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prevede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questa</w:t>
      </w:r>
      <w:r>
        <w:rPr>
          <w:color w:val="1E2F46"/>
          <w:spacing w:val="-4"/>
        </w:rPr>
        <w:t> </w:t>
      </w:r>
      <w:r>
        <w:rPr>
          <w:color w:val="1E2F46"/>
        </w:rPr>
        <w:t>splendida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40"/>
        </w:rPr>
        <w:t> </w:t>
      </w:r>
      <w:r>
        <w:rPr>
          <w:color w:val="1E2F46"/>
        </w:rPr>
        <w:t>perfettamente conservata. Visita della Cattedrale e passeggiata lungo le mura medievali, tra le meglio conservate al mondo, dalle quali si potrà ammirare uno</w:t>
      </w:r>
      <w:r>
        <w:rPr>
          <w:color w:val="1E2F46"/>
          <w:spacing w:val="40"/>
        </w:rPr>
        <w:t> </w:t>
      </w:r>
      <w:r>
        <w:rPr>
          <w:color w:val="1E2F46"/>
        </w:rPr>
        <w:t>straordinario panorama sulla città e sui dintorni. Tempo per il pranzo (libero). Proseguimento per il vicino Monastero dell’Escorial, considerato una delle più</w:t>
      </w:r>
      <w:r>
        <w:rPr>
          <w:color w:val="1E2F46"/>
          <w:spacing w:val="40"/>
        </w:rPr>
        <w:t> </w:t>
      </w:r>
      <w:r>
        <w:rPr>
          <w:color w:val="1E2F46"/>
        </w:rPr>
        <w:t>significative testimonianze della grandezza dell’Impero Spagnolo nel XVI secolo, quando gran parte del mondo allora conosciuto era sotto il dominio della Corona di</w:t>
      </w:r>
      <w:r>
        <w:rPr>
          <w:color w:val="1E2F46"/>
          <w:spacing w:val="40"/>
        </w:rPr>
        <w:t> </w:t>
      </w:r>
      <w:r>
        <w:rPr>
          <w:color w:val="1E2F46"/>
        </w:rPr>
        <w:t>Spagna.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complesso</w:t>
      </w:r>
      <w:r>
        <w:rPr>
          <w:color w:val="1E2F46"/>
          <w:spacing w:val="-4"/>
        </w:rPr>
        <w:t> </w:t>
      </w:r>
      <w:r>
        <w:rPr>
          <w:color w:val="1E2F46"/>
        </w:rPr>
        <w:t>monumentale,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custodisce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straordinaria</w:t>
      </w:r>
      <w:r>
        <w:rPr>
          <w:color w:val="1E2F46"/>
          <w:spacing w:val="-4"/>
        </w:rPr>
        <w:t> </w:t>
      </w:r>
      <w:r>
        <w:rPr>
          <w:color w:val="1E2F46"/>
        </w:rPr>
        <w:t>collezione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capolavori</w:t>
      </w:r>
      <w:r>
        <w:rPr>
          <w:color w:val="1E2F46"/>
          <w:spacing w:val="-4"/>
        </w:rPr>
        <w:t> </w:t>
      </w:r>
      <w:r>
        <w:rPr>
          <w:color w:val="1E2F46"/>
        </w:rPr>
        <w:t>realizzati</w:t>
      </w:r>
      <w:r>
        <w:rPr>
          <w:color w:val="1E2F46"/>
          <w:spacing w:val="-4"/>
        </w:rPr>
        <w:t> </w:t>
      </w:r>
      <w:r>
        <w:rPr>
          <w:color w:val="1E2F46"/>
        </w:rPr>
        <w:t>dai</w:t>
      </w:r>
      <w:r>
        <w:rPr>
          <w:color w:val="1E2F46"/>
          <w:spacing w:val="-4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artisti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XVI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XVIII</w:t>
      </w:r>
      <w:r>
        <w:rPr>
          <w:color w:val="1E2F46"/>
          <w:spacing w:val="-3"/>
        </w:rPr>
        <w:t> </w:t>
      </w:r>
      <w:r>
        <w:rPr>
          <w:color w:val="1E2F46"/>
        </w:rPr>
        <w:t>secolo.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Madrid, cena libera e pernottamento in hotel.</w:t>
      </w:r>
    </w:p>
    <w:p>
      <w:pPr>
        <w:pStyle w:val="BodyText"/>
        <w:spacing w:before="20"/>
      </w:pPr>
    </w:p>
    <w:p>
      <w:pPr>
        <w:spacing w:before="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SEGOVIA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MADRID</w:t>
      </w:r>
    </w:p>
    <w:p>
      <w:pPr>
        <w:pStyle w:val="BodyText"/>
        <w:spacing w:line="271" w:lineRule="auto" w:before="24"/>
        <w:ind w:left="141" w:right="292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alle ore 08:00 per Segovia.</w:t>
      </w:r>
      <w:r>
        <w:rPr>
          <w:color w:val="1E2F46"/>
          <w:spacing w:val="-1"/>
        </w:rPr>
        <w:t> </w:t>
      </w:r>
      <w:r>
        <w:rPr>
          <w:color w:val="1E2F46"/>
        </w:rPr>
        <w:t>All’arrivo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potrà</w:t>
      </w:r>
      <w:r>
        <w:rPr>
          <w:color w:val="1E2F46"/>
          <w:spacing w:val="-1"/>
        </w:rPr>
        <w:t> </w:t>
      </w:r>
      <w:r>
        <w:rPr>
          <w:color w:val="1E2F46"/>
        </w:rPr>
        <w:t>ammirare l’imponente acquedotto</w:t>
      </w:r>
      <w:r>
        <w:rPr>
          <w:color w:val="1E2F46"/>
          <w:spacing w:val="-1"/>
        </w:rPr>
        <w:t> </w:t>
      </w:r>
      <w:r>
        <w:rPr>
          <w:color w:val="1E2F46"/>
        </w:rPr>
        <w:t>romano, eccezionalmente conservato</w:t>
      </w:r>
      <w:r>
        <w:rPr>
          <w:color w:val="1E2F46"/>
          <w:spacing w:val="-1"/>
        </w:rPr>
        <w:t> </w:t>
      </w:r>
      <w:r>
        <w:rPr>
          <w:color w:val="1E2F46"/>
        </w:rPr>
        <w:t>e rimasto</w:t>
      </w:r>
      <w:r>
        <w:rPr>
          <w:color w:val="1E2F46"/>
          <w:spacing w:val="40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funzione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circa</w:t>
      </w:r>
      <w:r>
        <w:rPr>
          <w:color w:val="1E2F46"/>
          <w:spacing w:val="-5"/>
        </w:rPr>
        <w:t> </w:t>
      </w:r>
      <w:r>
        <w:rPr>
          <w:color w:val="1E2F46"/>
        </w:rPr>
        <w:t>150</w:t>
      </w:r>
      <w:r>
        <w:rPr>
          <w:color w:val="1E2F46"/>
          <w:spacing w:val="-4"/>
        </w:rPr>
        <w:t> </w:t>
      </w:r>
      <w:r>
        <w:rPr>
          <w:color w:val="1E2F46"/>
        </w:rPr>
        <w:t>anni</w:t>
      </w:r>
      <w:r>
        <w:rPr>
          <w:color w:val="1E2F46"/>
          <w:spacing w:val="-5"/>
        </w:rPr>
        <w:t> </w:t>
      </w:r>
      <w:r>
        <w:rPr>
          <w:color w:val="1E2F46"/>
        </w:rPr>
        <w:t>fa,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oltre</w:t>
      </w:r>
      <w:r>
        <w:rPr>
          <w:color w:val="1E2F46"/>
          <w:spacing w:val="-4"/>
        </w:rPr>
        <w:t> </w:t>
      </w:r>
      <w:r>
        <w:rPr>
          <w:color w:val="1E2F46"/>
        </w:rPr>
        <w:t>quindici</w:t>
      </w:r>
      <w:r>
        <w:rPr>
          <w:color w:val="1E2F46"/>
          <w:spacing w:val="-5"/>
        </w:rPr>
        <w:t> </w:t>
      </w:r>
      <w:r>
        <w:rPr>
          <w:color w:val="1E2F46"/>
        </w:rPr>
        <w:t>secoli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utilizzo.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esterna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numerose</w:t>
      </w:r>
      <w:r>
        <w:rPr>
          <w:color w:val="1E2F46"/>
          <w:spacing w:val="-5"/>
        </w:rPr>
        <w:t> </w:t>
      </w:r>
      <w:r>
        <w:rPr>
          <w:color w:val="1E2F46"/>
        </w:rPr>
        <w:t>chiese</w:t>
      </w:r>
      <w:r>
        <w:rPr>
          <w:color w:val="1E2F46"/>
          <w:spacing w:val="-4"/>
        </w:rPr>
        <w:t> </w:t>
      </w:r>
      <w:r>
        <w:rPr>
          <w:color w:val="1E2F46"/>
        </w:rPr>
        <w:t>romaniche,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dell’Alcázar,</w:t>
      </w:r>
      <w:r>
        <w:rPr>
          <w:color w:val="1E2F46"/>
          <w:spacing w:val="-4"/>
        </w:rPr>
        <w:t> </w:t>
      </w:r>
      <w:r>
        <w:rPr>
          <w:color w:val="1E2F46"/>
        </w:rPr>
        <w:t>l’imponente</w:t>
      </w:r>
    </w:p>
    <w:p>
      <w:pPr>
        <w:pStyle w:val="BodyText"/>
        <w:spacing w:line="271" w:lineRule="auto"/>
        <w:ind w:left="141" w:right="151"/>
      </w:pPr>
      <w:r>
        <w:rPr>
          <w:color w:val="1E2F46"/>
        </w:rPr>
        <w:t>fortezza</w:t>
      </w:r>
      <w:r>
        <w:rPr>
          <w:color w:val="1E2F46"/>
          <w:spacing w:val="-6"/>
        </w:rPr>
        <w:t> </w:t>
      </w:r>
      <w:r>
        <w:rPr>
          <w:color w:val="1E2F46"/>
        </w:rPr>
        <w:t>medievale</w:t>
      </w:r>
      <w:r>
        <w:rPr>
          <w:color w:val="1E2F46"/>
          <w:spacing w:val="-5"/>
        </w:rPr>
        <w:t> </w:t>
      </w:r>
      <w:r>
        <w:rPr>
          <w:color w:val="1E2F46"/>
        </w:rPr>
        <w:t>dalla</w:t>
      </w:r>
      <w:r>
        <w:rPr>
          <w:color w:val="1E2F46"/>
          <w:spacing w:val="-6"/>
        </w:rPr>
        <w:t> </w:t>
      </w:r>
      <w:r>
        <w:rPr>
          <w:color w:val="1E2F46"/>
        </w:rPr>
        <w:t>caratteristica</w:t>
      </w:r>
      <w:r>
        <w:rPr>
          <w:color w:val="1E2F46"/>
          <w:spacing w:val="-6"/>
        </w:rPr>
        <w:t> </w:t>
      </w:r>
      <w:r>
        <w:rPr>
          <w:color w:val="1E2F46"/>
        </w:rPr>
        <w:t>forma</w:t>
      </w:r>
      <w:r>
        <w:rPr>
          <w:color w:val="1E2F46"/>
          <w:spacing w:val="-6"/>
        </w:rPr>
        <w:t> </w:t>
      </w:r>
      <w:r>
        <w:rPr>
          <w:color w:val="1E2F46"/>
        </w:rPr>
        <w:t>che,</w:t>
      </w:r>
      <w:r>
        <w:rPr>
          <w:color w:val="1E2F46"/>
          <w:spacing w:val="-5"/>
        </w:rPr>
        <w:t> </w:t>
      </w:r>
      <w:r>
        <w:rPr>
          <w:color w:val="1E2F46"/>
        </w:rPr>
        <w:t>secondo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tradizione,</w:t>
      </w:r>
      <w:r>
        <w:rPr>
          <w:color w:val="1E2F46"/>
          <w:spacing w:val="-5"/>
        </w:rPr>
        <w:t> </w:t>
      </w:r>
      <w:r>
        <w:rPr>
          <w:color w:val="1E2F46"/>
        </w:rPr>
        <w:t>avrebbe</w:t>
      </w:r>
      <w:r>
        <w:rPr>
          <w:color w:val="1E2F46"/>
          <w:spacing w:val="-5"/>
        </w:rPr>
        <w:t> </w:t>
      </w:r>
      <w:r>
        <w:rPr>
          <w:color w:val="1E2F46"/>
        </w:rPr>
        <w:t>ispirato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Cenerentola.</w:t>
      </w:r>
      <w:r>
        <w:rPr>
          <w:color w:val="1E2F46"/>
          <w:spacing w:val="-6"/>
        </w:rPr>
        <w:t> </w:t>
      </w:r>
      <w:r>
        <w:rPr>
          <w:color w:val="1E2F46"/>
        </w:rPr>
        <w:t>L’insieme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questi</w:t>
      </w:r>
      <w:r>
        <w:rPr>
          <w:color w:val="1E2F46"/>
          <w:spacing w:val="-6"/>
        </w:rPr>
        <w:t> </w:t>
      </w:r>
      <w:r>
        <w:rPr>
          <w:color w:val="1E2F46"/>
        </w:rPr>
        <w:t>monumenti</w:t>
      </w:r>
      <w:r>
        <w:rPr>
          <w:color w:val="1E2F46"/>
          <w:spacing w:val="-6"/>
        </w:rPr>
        <w:t> </w:t>
      </w:r>
      <w:r>
        <w:rPr>
          <w:color w:val="1E2F46"/>
        </w:rPr>
        <w:t>contribuisce</w:t>
      </w:r>
      <w:r>
        <w:rPr>
          <w:color w:val="1E2F46"/>
          <w:spacing w:val="40"/>
        </w:rPr>
        <w:t> </w:t>
      </w:r>
      <w:r>
        <w:rPr>
          <w:color w:val="1E2F46"/>
        </w:rPr>
        <w:t>a creare uno dei panorami urbani più affascinanti della Spagna. Rientro a Madrid e tempo libero per il pranzo. Nel pomeriggio visita panoramica guidata della città.</w:t>
      </w:r>
    </w:p>
    <w:p>
      <w:pPr>
        <w:pStyle w:val="BodyText"/>
        <w:spacing w:line="271" w:lineRule="auto"/>
        <w:ind w:left="141" w:right="198"/>
      </w:pPr>
      <w:r>
        <w:rPr>
          <w:color w:val="1E2F46"/>
        </w:rPr>
        <w:t>L’itinerario</w:t>
      </w:r>
      <w:r>
        <w:rPr>
          <w:color w:val="1E2F46"/>
          <w:spacing w:val="-5"/>
        </w:rPr>
        <w:t> </w:t>
      </w:r>
      <w:r>
        <w:rPr>
          <w:color w:val="1E2F46"/>
        </w:rPr>
        <w:t>attraversa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cosiddetta</w:t>
      </w:r>
      <w:r>
        <w:rPr>
          <w:color w:val="1E2F46"/>
          <w:spacing w:val="-5"/>
        </w:rPr>
        <w:t> </w:t>
      </w:r>
      <w:r>
        <w:rPr>
          <w:color w:val="1E2F46"/>
        </w:rPr>
        <w:t>Madrid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Borboni,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principali</w:t>
      </w:r>
      <w:r>
        <w:rPr>
          <w:color w:val="1E2F46"/>
          <w:spacing w:val="-5"/>
        </w:rPr>
        <w:t> </w:t>
      </w:r>
      <w:r>
        <w:rPr>
          <w:color w:val="1E2F46"/>
        </w:rPr>
        <w:t>interventi</w:t>
      </w:r>
      <w:r>
        <w:rPr>
          <w:color w:val="1E2F46"/>
          <w:spacing w:val="-5"/>
        </w:rPr>
        <w:t> </w:t>
      </w:r>
      <w:r>
        <w:rPr>
          <w:color w:val="1E2F46"/>
        </w:rPr>
        <w:t>urbanistici</w:t>
      </w:r>
      <w:r>
        <w:rPr>
          <w:color w:val="1E2F46"/>
          <w:spacing w:val="-5"/>
        </w:rPr>
        <w:t> </w:t>
      </w:r>
      <w:r>
        <w:rPr>
          <w:color w:val="1E2F46"/>
        </w:rPr>
        <w:t>realizzati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XIX</w:t>
      </w:r>
      <w:r>
        <w:rPr>
          <w:color w:val="1E2F46"/>
          <w:spacing w:val="-5"/>
        </w:rPr>
        <w:t> </w:t>
      </w:r>
      <w:r>
        <w:rPr>
          <w:color w:val="1E2F46"/>
        </w:rPr>
        <w:t>secolo: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celebri</w:t>
      </w:r>
      <w:r>
        <w:rPr>
          <w:color w:val="1E2F46"/>
          <w:spacing w:val="-5"/>
        </w:rPr>
        <w:t> </w:t>
      </w:r>
      <w:r>
        <w:rPr>
          <w:color w:val="1E2F46"/>
        </w:rPr>
        <w:t>fontane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Cibeles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Nettuno,</w:t>
      </w:r>
      <w:r>
        <w:rPr>
          <w:color w:val="1E2F46"/>
          <w:spacing w:val="40"/>
        </w:rPr>
        <w:t> </w:t>
      </w:r>
      <w:r>
        <w:rPr>
          <w:color w:val="1E2F46"/>
        </w:rPr>
        <w:t>il Paseo de la Castellana, la Borsa e il Parlamento. La visita prosegue lungo le principali arterie commerciali della capitale, tra cui la Gran Vía e Plaza de España, fino a</w:t>
      </w:r>
      <w:r>
        <w:rPr>
          <w:color w:val="1E2F46"/>
          <w:spacing w:val="40"/>
        </w:rPr>
        <w:t> </w:t>
      </w:r>
      <w:r>
        <w:rPr>
          <w:color w:val="1E2F46"/>
        </w:rPr>
        <w:t>raggiungere la</w:t>
      </w:r>
      <w:r>
        <w:rPr>
          <w:color w:val="1E2F46"/>
          <w:spacing w:val="-1"/>
        </w:rPr>
        <w:t> </w:t>
      </w:r>
      <w:r>
        <w:rPr>
          <w:color w:val="1E2F46"/>
        </w:rPr>
        <w:t>Madrid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Asburgo, il</w:t>
      </w:r>
      <w:r>
        <w:rPr>
          <w:color w:val="1E2F46"/>
          <w:spacing w:val="-1"/>
        </w:rPr>
        <w:t> </w:t>
      </w:r>
      <w:r>
        <w:rPr>
          <w:color w:val="1E2F46"/>
        </w:rPr>
        <w:t>nucleo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antico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città, dove si</w:t>
      </w:r>
      <w:r>
        <w:rPr>
          <w:color w:val="1E2F46"/>
          <w:spacing w:val="-1"/>
        </w:rPr>
        <w:t> </w:t>
      </w:r>
      <w:r>
        <w:rPr>
          <w:color w:val="1E2F46"/>
        </w:rPr>
        <w:t>trovano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celebre Plaza</w:t>
      </w:r>
      <w:r>
        <w:rPr>
          <w:color w:val="1E2F46"/>
          <w:spacing w:val="-1"/>
        </w:rPr>
        <w:t> </w:t>
      </w:r>
      <w:r>
        <w:rPr>
          <w:color w:val="1E2F46"/>
        </w:rPr>
        <w:t>Mayor e Plaza</w:t>
      </w:r>
      <w:r>
        <w:rPr>
          <w:color w:val="1E2F46"/>
          <w:spacing w:val="-1"/>
        </w:rPr>
        <w:t> </w:t>
      </w:r>
      <w:r>
        <w:rPr>
          <w:color w:val="1E2F46"/>
        </w:rPr>
        <w:t>de la</w:t>
      </w:r>
      <w:r>
        <w:rPr>
          <w:color w:val="1E2F46"/>
          <w:spacing w:val="-1"/>
        </w:rPr>
        <w:t> </w:t>
      </w:r>
      <w:r>
        <w:rPr>
          <w:color w:val="1E2F46"/>
        </w:rPr>
        <w:t>Villa.</w:t>
      </w:r>
      <w:r>
        <w:rPr>
          <w:color w:val="1E2F46"/>
          <w:spacing w:val="-1"/>
        </w:rPr>
        <w:t> </w:t>
      </w:r>
      <w:r>
        <w:rPr>
          <w:color w:val="1E2F46"/>
        </w:rPr>
        <w:t>Termine delle visite intorno</w:t>
      </w:r>
      <w:r>
        <w:rPr>
          <w:color w:val="1E2F46"/>
          <w:spacing w:val="-1"/>
        </w:rPr>
        <w:t> </w:t>
      </w:r>
      <w:r>
        <w:rPr>
          <w:color w:val="1E2F46"/>
        </w:rPr>
        <w:t>alle</w:t>
      </w:r>
      <w:r>
        <w:rPr>
          <w:color w:val="1E2F46"/>
          <w:spacing w:val="40"/>
        </w:rPr>
        <w:t> </w:t>
      </w:r>
      <w:r>
        <w:rPr>
          <w:color w:val="1E2F46"/>
        </w:rPr>
        <w:t>ore 17:30. Tempo libero per immergersi nell’atmosfera festiva natalizia che anima le vie del centro, passeggiare tra le luminarie e visitare i tradizionali mercatini di</w:t>
      </w:r>
      <w:r>
        <w:rPr>
          <w:color w:val="1E2F46"/>
          <w:spacing w:val="40"/>
        </w:rPr>
        <w:t> </w:t>
      </w:r>
      <w:r>
        <w:rPr>
          <w:color w:val="1E2F46"/>
        </w:rPr>
        <w:t>Natale di Plaza Mayor. Possibilità di prenotare il cenone di Capodanno in ristorante esterno all’hotel (facoltativo). Pernottamento.</w:t>
      </w:r>
    </w:p>
    <w:p>
      <w:pPr>
        <w:pStyle w:val="BodyText"/>
        <w:spacing w:before="18"/>
      </w:pPr>
    </w:p>
    <w:p>
      <w:pPr>
        <w:spacing w:before="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TOLEDO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pStyle w:val="BodyText"/>
        <w:spacing w:before="24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6"/>
        </w:rPr>
        <w:t> </w:t>
      </w:r>
      <w:r>
        <w:rPr>
          <w:color w:val="1E2F46"/>
        </w:rPr>
        <w:t>libera.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5"/>
        </w:rPr>
        <w:t> </w:t>
      </w:r>
      <w:r>
        <w:rPr>
          <w:color w:val="1E2F46"/>
        </w:rPr>
        <w:t>14:00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Toledo,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Spagna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diversi</w:t>
      </w:r>
      <w:r>
        <w:rPr>
          <w:color w:val="1E2F46"/>
          <w:spacing w:val="-5"/>
        </w:rPr>
        <w:t> </w:t>
      </w:r>
      <w:r>
        <w:rPr>
          <w:color w:val="1E2F46"/>
        </w:rPr>
        <w:t>secoli</w:t>
      </w:r>
      <w:r>
        <w:rPr>
          <w:color w:val="1E2F46"/>
          <w:spacing w:val="-6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Medioevo.</w:t>
      </w:r>
    </w:p>
    <w:p>
      <w:pPr>
        <w:pStyle w:val="BodyText"/>
        <w:spacing w:line="271" w:lineRule="auto" w:before="25"/>
        <w:ind w:left="141" w:right="151"/>
      </w:pPr>
      <w:r>
        <w:rPr>
          <w:color w:val="1E2F46"/>
        </w:rPr>
        <w:t>Nel XIII secolo la città conobbe il suo periodo di massimo splendore, diventando un importante centro culturale grazie alla convivenza di comunità cristiane,</w:t>
      </w:r>
      <w:r>
        <w:rPr>
          <w:color w:val="1E2F46"/>
          <w:spacing w:val="40"/>
        </w:rPr>
        <w:t> </w:t>
      </w:r>
      <w:r>
        <w:rPr>
          <w:color w:val="1E2F46"/>
        </w:rPr>
        <w:t>musulmane ed ebraiche. Passeggiata nel centro storico attraverso le caratteristiche stradine pedonali, che conservano intatto il fascino del passato e testimoniano il</w:t>
      </w:r>
      <w:r>
        <w:rPr>
          <w:color w:val="1E2F46"/>
          <w:spacing w:val="40"/>
        </w:rPr>
        <w:t> </w:t>
      </w:r>
      <w:r>
        <w:rPr>
          <w:color w:val="1E2F46"/>
        </w:rPr>
        <w:t>prestigio</w:t>
      </w:r>
      <w:r>
        <w:rPr>
          <w:color w:val="1E2F46"/>
          <w:spacing w:val="-5"/>
        </w:rPr>
        <w:t> </w:t>
      </w:r>
      <w:r>
        <w:rPr>
          <w:color w:val="1E2F46"/>
        </w:rPr>
        <w:t>storico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monumentale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città.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causa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festività,</w:t>
      </w:r>
      <w:r>
        <w:rPr>
          <w:color w:val="1E2F46"/>
          <w:spacing w:val="-5"/>
        </w:rPr>
        <w:t> </w:t>
      </w:r>
      <w:r>
        <w:rPr>
          <w:color w:val="1E2F46"/>
        </w:rPr>
        <w:t>non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5"/>
        </w:rPr>
        <w:t> </w:t>
      </w:r>
      <w:r>
        <w:rPr>
          <w:color w:val="1E2F46"/>
        </w:rPr>
        <w:t>possibile</w:t>
      </w:r>
      <w:r>
        <w:rPr>
          <w:color w:val="1E2F46"/>
          <w:spacing w:val="-5"/>
        </w:rPr>
        <w:t> </w:t>
      </w:r>
      <w:r>
        <w:rPr>
          <w:color w:val="1E2F46"/>
        </w:rPr>
        <w:t>effettuare</w:t>
      </w:r>
      <w:r>
        <w:rPr>
          <w:color w:val="1E2F46"/>
          <w:spacing w:val="-5"/>
        </w:rPr>
        <w:t> </w:t>
      </w:r>
      <w:r>
        <w:rPr>
          <w:color w:val="1E2F46"/>
        </w:rPr>
        <w:t>visite</w:t>
      </w:r>
      <w:r>
        <w:rPr>
          <w:color w:val="1E2F46"/>
          <w:spacing w:val="-5"/>
        </w:rPr>
        <w:t> </w:t>
      </w:r>
      <w:r>
        <w:rPr>
          <w:color w:val="1E2F46"/>
        </w:rPr>
        <w:t>interne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monumenti.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Madrid.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40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hotel.</w:t>
      </w:r>
    </w:p>
    <w:p>
      <w:pPr>
        <w:pStyle w:val="BodyText"/>
        <w:spacing w:before="22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71" w:lineRule="auto" w:before="24"/>
        <w:ind w:left="141" w:right="292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BodyText"/>
        <w:spacing w:before="24"/>
      </w:pPr>
    </w:p>
    <w:p>
      <w:pPr>
        <w:pStyle w:val="Heading4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BodyText"/>
        <w:rPr>
          <w:b/>
          <w:i/>
        </w:rPr>
      </w:pPr>
    </w:p>
    <w:p>
      <w:pPr>
        <w:pStyle w:val="BodyText"/>
        <w:spacing w:before="74"/>
        <w:rPr>
          <w:b/>
          <w:i/>
        </w:rPr>
      </w:pPr>
    </w:p>
    <w:p>
      <w:pPr>
        <w:spacing w:before="0"/>
        <w:ind w:left="3" w:right="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BodyText"/>
        <w:spacing w:before="49"/>
        <w:rPr>
          <w:b/>
          <w:i/>
        </w:rPr>
      </w:pP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La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dicitura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“o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similare”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indica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che,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base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alla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disponibilità,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potremmo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utilizzare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strutture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alberghiere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alternative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rispetto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quelle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menzionate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nel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caso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orari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voli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compatibili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sarà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fornito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colazione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sacco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una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cena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fredda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Cenone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Capodanno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opzionale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–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supplemento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verrà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disponibile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</w:t>
      </w:r>
      <w:r>
        <w:rPr>
          <w:rFonts w:ascii="Calibri" w:hAnsi="Calibri"/>
          <w:i/>
          <w:color w:val="1E2F46"/>
          <w:spacing w:val="-4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novembre</w:t>
      </w:r>
      <w:r>
        <w:rPr>
          <w:rFonts w:ascii="Calibri" w:hAnsi="Calibri"/>
          <w:i/>
          <w:color w:val="1E2F46"/>
          <w:spacing w:val="-2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2026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4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z w:val="16"/>
        </w:rPr>
        <w:t>Trasferimenti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collettivi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su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richiesta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e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con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supplemento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da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richiedere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al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momento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della</w:t>
      </w:r>
      <w:r>
        <w:rPr>
          <w:rFonts w:ascii="Calibri" w:hAnsi="Calibri"/>
          <w:i/>
          <w:color w:val="1E2F46"/>
          <w:spacing w:val="-8"/>
          <w:sz w:val="16"/>
        </w:rPr>
        <w:t> </w:t>
      </w:r>
      <w:r>
        <w:rPr>
          <w:rFonts w:ascii="Calibri" w:hAnsi="Calibri"/>
          <w:i/>
          <w:color w:val="1E2F46"/>
          <w:spacing w:val="-2"/>
          <w:sz w:val="16"/>
        </w:rPr>
        <w:t>prenotazione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9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201528</wp:posOffset>
                </wp:positionV>
                <wp:extent cx="3324860" cy="61341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24860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30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CAT.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55"/>
                                    <w:ind w:left="829" w:hanging="53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Sana Metropolitan / 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Ramada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Lisboa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5.868369pt;width:261.8pt;height:48.3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30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CAT.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similari)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55"/>
                              <w:ind w:left="829" w:hanging="53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Sana Metropolitan / 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Ramada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Lisboa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201528</wp:posOffset>
                </wp:positionV>
                <wp:extent cx="3324860" cy="76581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765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LISBONA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Chiesa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dos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Jeronimos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SINTRA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Palazzo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5.868369pt;width:261.8pt;height:60.3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LISBONA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Chiesa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Jeronimos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SINTRA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Palazzo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1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202654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5.957031pt;width:379.1pt;height:19pt;mso-position-horizontal-relative:page;mso-position-vertical-relative:paragraph;z-index:-15728128;mso-wrap-distance-left:0;mso-wrap-distance-right:0" id="docshapegroup9" coordorigin="2162,319" coordsize="7582,380">
                <v:shape style="position:absolute;left:2162;top:319;width:7582;height:380" id="docshape10" coordorigin="2162,319" coordsize="7582,380" path="m9573,319l2332,319,2266,333,2212,369,2176,423,2162,489,2162,529,2176,595,2212,649,2266,686,2332,699,9573,699,9639,686,9693,649,9730,595,9743,529,9743,489,9730,423,9693,369,9639,333,9573,319xe" filled="true" fillcolor="#1e2f46" stroked="false">
                  <v:path arrowok="t"/>
                  <v:fill type="solid"/>
                </v:shape>
                <v:shape style="position:absolute;left:2162;top:319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7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360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3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7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2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6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10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003" w:right="994" w:hanging="5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4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6" w:line="406" w:lineRule="exact"/>
      <w:ind w:left="592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ind w:left="3" w:right="3"/>
      <w:jc w:val="center"/>
      <w:outlineLvl w:val="4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945" w:hanging="36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23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2026-07-03T09:57:47Z</dcterms:created>
  <dcterms:modified xsi:type="dcterms:W3CDTF">2026-07-03T09:57:47Z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2026-07-02T00:00:00Z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